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仿宋" w:hAnsi="仿宋" w:eastAsia="仿宋" w:cs="仿宋"/>
          <w:b w:val="0"/>
          <w:bCs/>
          <w:color w:val="000000"/>
          <w:kern w:val="0"/>
          <w:sz w:val="28"/>
          <w:szCs w:val="28"/>
          <w:lang w:val="en-US" w:eastAsia="zh-CN" w:bidi="ar"/>
        </w:rPr>
      </w:pPr>
      <w:r>
        <w:rPr>
          <w:rFonts w:hint="eastAsia" w:ascii="仿宋" w:hAnsi="仿宋" w:eastAsia="仿宋" w:cs="仿宋"/>
          <w:b w:val="0"/>
          <w:bCs/>
          <w:color w:val="000000"/>
          <w:kern w:val="0"/>
          <w:sz w:val="28"/>
          <w:szCs w:val="28"/>
          <w:lang w:val="en-US" w:eastAsia="zh-CN" w:bidi="ar"/>
        </w:rPr>
        <w:t>附件：</w:t>
      </w:r>
    </w:p>
    <w:p>
      <w:pPr>
        <w:keepNext w:val="0"/>
        <w:keepLines w:val="0"/>
        <w:widowControl/>
        <w:suppressLineNumbers w:val="0"/>
        <w:jc w:val="center"/>
        <w:rPr>
          <w:rFonts w:hint="eastAsia" w:ascii="仿宋" w:hAnsi="仿宋" w:eastAsia="仿宋" w:cs="仿宋"/>
          <w:b/>
          <w:bCs w:val="0"/>
          <w:color w:val="000000"/>
          <w:kern w:val="0"/>
          <w:sz w:val="36"/>
          <w:szCs w:val="36"/>
          <w:lang w:val="en-US" w:eastAsia="zh-CN" w:bidi="ar"/>
        </w:rPr>
      </w:pPr>
      <w:r>
        <w:rPr>
          <w:rFonts w:hint="eastAsia" w:ascii="仿宋" w:hAnsi="仿宋" w:eastAsia="仿宋" w:cs="仿宋"/>
          <w:b/>
          <w:bCs w:val="0"/>
          <w:color w:val="000000"/>
          <w:kern w:val="0"/>
          <w:sz w:val="36"/>
          <w:szCs w:val="36"/>
          <w:lang w:val="en-US" w:eastAsia="zh-CN" w:bidi="ar"/>
        </w:rPr>
        <w:t>2023中国国际园林景观规划设计大赛</w:t>
      </w:r>
    </w:p>
    <w:p>
      <w:pPr>
        <w:keepNext w:val="0"/>
        <w:keepLines w:val="0"/>
        <w:widowControl/>
        <w:suppressLineNumbers w:val="0"/>
        <w:jc w:val="center"/>
        <w:rPr>
          <w:rFonts w:hint="eastAsia" w:ascii="仿宋" w:hAnsi="仿宋" w:eastAsia="仿宋" w:cs="仿宋"/>
          <w:b/>
          <w:bCs w:val="0"/>
          <w:sz w:val="36"/>
          <w:szCs w:val="36"/>
        </w:rPr>
      </w:pPr>
      <w:r>
        <w:rPr>
          <w:rFonts w:hint="eastAsia" w:ascii="仿宋" w:hAnsi="仿宋" w:eastAsia="仿宋" w:cs="仿宋"/>
          <w:b/>
          <w:bCs/>
          <w:sz w:val="36"/>
          <w:szCs w:val="36"/>
          <w:lang w:val="en-US" w:eastAsia="zh-CN"/>
        </w:rPr>
        <w:t>暨原创作品展览</w:t>
      </w:r>
      <w:r>
        <w:rPr>
          <w:rFonts w:hint="eastAsia" w:ascii="仿宋" w:hAnsi="仿宋" w:eastAsia="仿宋" w:cs="仿宋"/>
          <w:b/>
          <w:bCs w:val="0"/>
          <w:color w:val="000000"/>
          <w:kern w:val="0"/>
          <w:sz w:val="36"/>
          <w:szCs w:val="36"/>
          <w:lang w:val="en-US" w:eastAsia="zh-CN" w:bidi="ar"/>
        </w:rPr>
        <w:t>活动方案</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一、活动背景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党的二十大首次提出宜居宜业和美乡村建设。今年中央一号文件《关于做好2023年全面推进乡村振兴重点工作的意见》强调，推动乡村产业高质量发展，要扎实推进宜居宜业和美乡村建设。</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rPr>
      </w:pPr>
      <w:r>
        <w:rPr>
          <w:rFonts w:hint="eastAsia" w:ascii="方正仿宋_GB2312" w:hAnsi="方正仿宋_GB2312" w:eastAsia="方正仿宋_GB2312" w:cs="方正仿宋_GB2312"/>
          <w:sz w:val="28"/>
          <w:szCs w:val="28"/>
          <w:lang w:val="en-US" w:eastAsia="zh-CN"/>
        </w:rPr>
        <w:t>为深入贯彻落实“宜居宜业和美乡村建设”国家战略目标，有效推进“和美乡村建设”系统工程的良好运行，助力和改善乡村人居生态环境质量，推动我国乡村绿色、智能、智慧产业高质量发展，人居环境科学规划是重要抓手，涉及建筑、城乡规划、风景园林。以期在智慧规划、智慧建筑、智慧园林、智慧人居等领域创造新的探索和实践，并搭建“产学研”交流合作平台。</w:t>
      </w:r>
      <w:r>
        <w:rPr>
          <w:rFonts w:hint="eastAsia" w:ascii="仿宋" w:hAnsi="仿宋" w:eastAsia="仿宋" w:cs="仿宋"/>
          <w:color w:val="000000"/>
          <w:kern w:val="0"/>
          <w:sz w:val="28"/>
          <w:szCs w:val="28"/>
          <w:lang w:val="en-US" w:eastAsia="zh-CN" w:bidi="ar"/>
        </w:rPr>
        <w:t>遵求学术支持单位“艾景智库”的专家意见，决定将本次大赛主题定位为“筑梦山水·和美人居</w:t>
      </w:r>
      <w:bookmarkStart w:id="0" w:name="_GoBack"/>
      <w:bookmarkEnd w:id="0"/>
      <w:r>
        <w:rPr>
          <w:rFonts w:hint="eastAsia" w:ascii="仿宋" w:hAnsi="仿宋" w:eastAsia="仿宋" w:cs="仿宋"/>
          <w:color w:val="000000"/>
          <w:kern w:val="0"/>
          <w:sz w:val="28"/>
          <w:szCs w:val="28"/>
          <w:lang w:val="en-US" w:eastAsia="zh-CN" w:bidi="ar"/>
        </w:rPr>
        <w:t>”，旨在征集同时体现</w:t>
      </w:r>
      <w:r>
        <w:rPr>
          <w:rFonts w:hint="eastAsia" w:ascii="方正仿宋_GB2312" w:hAnsi="方正仿宋_GB2312" w:eastAsia="方正仿宋_GB2312" w:cs="方正仿宋_GB2312"/>
          <w:sz w:val="28"/>
          <w:szCs w:val="28"/>
          <w:lang w:val="en-US" w:eastAsia="zh-CN"/>
        </w:rPr>
        <w:t>乡村绿色、智能、智慧产业高质量发展</w:t>
      </w:r>
      <w:r>
        <w:rPr>
          <w:rFonts w:hint="eastAsia" w:ascii="仿宋" w:hAnsi="仿宋" w:eastAsia="仿宋" w:cs="仿宋"/>
          <w:color w:val="000000"/>
          <w:kern w:val="0"/>
          <w:sz w:val="28"/>
          <w:szCs w:val="28"/>
          <w:lang w:val="en-US" w:eastAsia="zh-CN" w:bidi="ar"/>
        </w:rPr>
        <w:t xml:space="preserve">、促进和美乡村建设的优秀案例，向全行业推广。 </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二、组织架构</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color w:val="000000"/>
          <w:kern w:val="0"/>
          <w:sz w:val="28"/>
          <w:szCs w:val="28"/>
          <w:lang w:val="en-US" w:eastAsia="zh-CN" w:bidi="ar"/>
        </w:rPr>
      </w:pPr>
      <w:r>
        <w:rPr>
          <w:rFonts w:hint="eastAsia" w:ascii="仿宋" w:hAnsi="仿宋" w:eastAsia="仿宋" w:cs="仿宋"/>
          <w:b/>
          <w:color w:val="000000"/>
          <w:kern w:val="0"/>
          <w:sz w:val="28"/>
          <w:szCs w:val="28"/>
          <w:lang w:val="en-US" w:eastAsia="zh-CN" w:bidi="ar"/>
        </w:rPr>
        <w:t>（一）主办单位</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中国长城绿化促进会</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（二）承办单位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中国长城绿化促进会生态人居与绿色建筑分会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（三）学术支持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艾景智库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（四）媒体联盟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电视媒体：中央电视台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报刊媒体：新华社、中国环境报、中国绿色时报、中国花卉报等报刊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媒体</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网络媒体：人民网、新华网、央视网、凤凰网、广电网、光明网、中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国网、新浪房产、搜房网、腾讯网、世界人居网  </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三、大赛主题</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筑梦山水·和美人居</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四、参赛对象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（一）高校组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高校组特指项目负责人及团队主要成员是在校本科以上大学 生（含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本科、硕士研究生和博士研究生）的项目，包括 2023年应届毕业的全日制大学生，不包含往届已经毕业的大学生。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1.涉林草高校学生：全国涉林草高校具有一定创新创业能力和拥有可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行性涉林草创新创业项目的在校本科生和研究生。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2.其他高校学生：其他类高校林草相关专业（包括景观学、风景园林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学、环境设计、城市设计、艺术设计等）对林草产业具有浓厚兴趣、并拥有可行性涉林草创新创业项目的在校本科生和研究生。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（二）职院组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职院组特指项目负责人及团队主要成员是在校（包括 2023届应届毕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业生）大中专学生和高中职学生的项目。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涉林草职业院校学生：全国涉林草职业院校具有一定创新创业能力和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拥有可行性涉林草创新创业项目的大中专和高中职生。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其他职业院校学生：全国其他类职业院校林草相关专业（包括景观学、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风景园林学、环境设计、城市设计等）对林草产业具有浓厚兴趣、并拥有可行性涉林草创新创业项目的大中专和高中职生。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说明：以团队（最多为 5 名成员）或个人名义均可报名参赛，团队必须写明主创设计师1-3名，指导老师最多3名。</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（三）社会组（职业组）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社会组特指项目负责人不是在校学生的项目，允许团队中有部分在校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生参加。鼓励各院校教职工参与该组竞赛。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全国林草科研院所具有涉林草成果及创新创业项目的集体或个人。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相关企事业单位拥有涉林草成果及创新创业项目的集体或个人。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其他热爱林草事业或林草产业转型升级中贡献自己智慧的集体或个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从事林草发展相关的园林设计、风景园林、城乡规划、城市设计、生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态治理、环境设计等相关领域的设计机构、设计院、研究院、艺术家及各高校园林设计专业及相关专业的教师受邀均可以报名参赛。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说明：以设计机构、团队（最多为 5 名成员）或个人名义均可报名参赛，团队必须写明主创设计师1-3名。 </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五、赛区设置</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本次大赛分为自选类和命题类，其中自选类分为综合赛区、华南赛区、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华东赛区、华中赛区、华北赛区、东北赛区及西南赛区，综合赛区是除华南、华东、华中、华北及西南赛区以外的所有地区。华南赛区赛点设置在华南理工大学建筑学院、华东赛区赛点设置在同济大学建筑与城市规划学院、华中赛区赛点设置在华中科技大学建筑与城市规划学院、华北赛区赛点设置在北京林业大学、</w:t>
      </w:r>
      <w:r>
        <w:rPr>
          <w:rFonts w:hint="eastAsia" w:ascii="仿宋" w:hAnsi="仿宋" w:eastAsia="仿宋" w:cs="仿宋"/>
          <w:color w:val="auto"/>
          <w:kern w:val="0"/>
          <w:sz w:val="28"/>
          <w:szCs w:val="28"/>
          <w:lang w:val="en-US" w:eastAsia="zh-CN" w:bidi="ar"/>
        </w:rPr>
        <w:t>东北赛区赛点设置在哈尔滨工业大学建筑学院</w:t>
      </w:r>
      <w:r>
        <w:rPr>
          <w:rFonts w:hint="eastAsia" w:ascii="仿宋" w:hAnsi="仿宋" w:eastAsia="仿宋" w:cs="仿宋"/>
          <w:color w:val="000000"/>
          <w:kern w:val="0"/>
          <w:sz w:val="28"/>
          <w:szCs w:val="28"/>
          <w:lang w:val="en-US" w:eastAsia="zh-CN" w:bidi="ar"/>
        </w:rPr>
        <w:t>、西南赛区赛点设置在四川音乐学院成都美术学院。 命题类一律通过综合赛区参赛。</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六、参赛流程</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本届大赛继续采取在线报名的方式，由于参赛者数量众多，本届大赛学生组、社会组将进行分流，在不同的网站进行报名。请不同组别参赛者根据如下流程注册、申报：</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学生组</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第一步：登录</w:t>
      </w:r>
      <w:r>
        <w:rPr>
          <w:rFonts w:hint="eastAsia" w:ascii="仿宋" w:hAnsi="仿宋" w:eastAsia="仿宋" w:cs="仿宋"/>
          <w:b w:val="0"/>
          <w:bCs w:val="0"/>
          <w:color w:val="000000"/>
          <w:kern w:val="0"/>
          <w:sz w:val="28"/>
          <w:szCs w:val="28"/>
          <w:lang w:val="en-US" w:eastAsia="zh-CN" w:bidi="ar"/>
        </w:rPr>
        <w:t>网址</w:t>
      </w:r>
      <w:r>
        <w:rPr>
          <w:rFonts w:hint="eastAsia" w:ascii="仿宋" w:hAnsi="仿宋" w:eastAsia="仿宋" w:cs="仿宋"/>
          <w:b/>
          <w:bCs/>
          <w:color w:val="000000"/>
          <w:kern w:val="0"/>
          <w:sz w:val="28"/>
          <w:szCs w:val="28"/>
          <w:lang w:val="en-US" w:eastAsia="zh-CN" w:bidi="ar"/>
        </w:rPr>
        <w:t>www.idea-king.org.cn</w:t>
      </w:r>
      <w:r>
        <w:rPr>
          <w:rFonts w:hint="eastAsia" w:ascii="仿宋" w:hAnsi="仿宋" w:eastAsia="仿宋" w:cs="仿宋"/>
          <w:b w:val="0"/>
          <w:bCs w:val="0"/>
          <w:color w:val="000000"/>
          <w:kern w:val="0"/>
          <w:sz w:val="28"/>
          <w:szCs w:val="28"/>
          <w:lang w:val="en-US" w:eastAsia="zh-CN" w:bidi="ar"/>
        </w:rPr>
        <w:t>进行参赛报名</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第二步：注册账号，如实完善个人信息和参赛信息，填写好所有的参赛信息后提交报名申请，系统提示报名成功后，等待组委会的官网确认私信、确认邮件或确认短信。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第三步：上传参赛作品及作品知识产权声明。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第四步：等待评审结果通知。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社会组（职业组）</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第一步：登录</w:t>
      </w:r>
      <w:r>
        <w:rPr>
          <w:rFonts w:hint="eastAsia" w:ascii="仿宋" w:hAnsi="仿宋" w:eastAsia="仿宋" w:cs="仿宋"/>
          <w:b w:val="0"/>
          <w:bCs w:val="0"/>
          <w:color w:val="000000"/>
          <w:kern w:val="0"/>
          <w:sz w:val="28"/>
          <w:szCs w:val="28"/>
          <w:lang w:val="en-US" w:eastAsia="zh-CN" w:bidi="ar"/>
        </w:rPr>
        <w:t>网址</w:t>
      </w:r>
      <w:r>
        <w:rPr>
          <w:rFonts w:hint="eastAsia" w:ascii="仿宋" w:hAnsi="仿宋" w:eastAsia="仿宋" w:cs="仿宋"/>
          <w:b/>
          <w:bCs/>
          <w:color w:val="000000"/>
          <w:kern w:val="0"/>
          <w:sz w:val="28"/>
          <w:szCs w:val="28"/>
          <w:lang w:val="en-US" w:eastAsia="zh-CN" w:bidi="ar"/>
        </w:rPr>
        <w:t>www.worldhabitat.cn</w:t>
      </w:r>
      <w:r>
        <w:rPr>
          <w:rFonts w:hint="eastAsia" w:ascii="仿宋" w:hAnsi="仿宋" w:eastAsia="仿宋" w:cs="仿宋"/>
          <w:b w:val="0"/>
          <w:bCs w:val="0"/>
          <w:color w:val="000000"/>
          <w:kern w:val="0"/>
          <w:sz w:val="28"/>
          <w:szCs w:val="28"/>
          <w:lang w:val="en-US" w:eastAsia="zh-CN" w:bidi="ar"/>
        </w:rPr>
        <w:t>进行参赛报名</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第二步：注册账号，如实完善企业信息。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第三步：上传作品。</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第四步：选定作品并提交参赛，填写好所有的参赛信息后提交报名申请和知识产权声明。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b/>
          <w:bCs/>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第五步：等待评审结果通知。</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七、重要时间</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申报截止日期：2023年8月10日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作品上传截止：2023年8月30日</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八、项目征集范围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具体如下：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 设计类 · 公共景观类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此类必须为已建成项目，含公园与花园设计、城乡公共空间、市政景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观、垂直绿化等。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2.设计类 · 私权景观类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此类必须为已建成项目，含居住区环境设计、园区景观设计、地产景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观、酒店环境设计等。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3.规划类（方案类）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此类主要是方案类作品，学生组参赛作品、社会组参赛未建成项目，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含公园与花园设计、城乡公共空间、居住区环境设计、园区景观设计、风景区规划、绿地系统规划、旅游度假区规划、国家公园规划等。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4.生态修复改造类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随着我国经济的不断发展，随之带来的环境破坏也日益严重，近年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来生态修复改造类的项目越来越多，生态修复改造主要还是从设计阶段介入比较有效，可以避免资源浪费和治理改造后的项目生态问题发生，因此，生态修复改造类单独设立一个分类，旨在号召设计师同行在设计阶段关注生态问题的重要性。例如垃圾填埋场、河流治理、矿山修复等项目，生态修复改造类不分组别，学生组和社会组均可以报名参赛。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5.文旅景观类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此类适应当下全域旅游规划、美丽乡村、田园综合体、特色小镇创建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规划、风景道及露营地规划、健康旅游基地等，此类不分组别，所有的组别均可以参赛。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6.调查研究类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此类主要有论文、报告等，具体包括历史文化、生态景观、经济建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设、学科发展等。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7.景观艺术装置类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此类属于公共艺术范畴，是指由某一地域的社会环境空间中，对社会公众开放的人们自由共同享有，能满足人们对于环境审美的功能、社会功能及实用功能的空间环境形式。主要使用空间包括广场、公园绿地、街道等线性空间、地铁站、商业设施、大型公共设施、社区与校区、重要的标志性节点、乡村、工业遗产的公共设施艺术化及街道家具等。 </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九、作品要求</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1.大赛作品要求体现『</w:t>
      </w:r>
      <w:r>
        <w:rPr>
          <w:rFonts w:hint="eastAsia" w:ascii="仿宋" w:hAnsi="仿宋" w:eastAsia="仿宋" w:cs="仿宋"/>
          <w:b/>
          <w:bCs/>
          <w:color w:val="000000"/>
          <w:kern w:val="0"/>
          <w:sz w:val="28"/>
          <w:szCs w:val="28"/>
          <w:lang w:val="en-US" w:eastAsia="zh-CN" w:bidi="ar"/>
        </w:rPr>
        <w:t>筑梦山水·和美人居</w:t>
      </w:r>
      <w:r>
        <w:rPr>
          <w:rFonts w:hint="eastAsia" w:ascii="仿宋" w:hAnsi="仿宋" w:eastAsia="仿宋" w:cs="仿宋"/>
          <w:color w:val="000000"/>
          <w:kern w:val="0"/>
          <w:sz w:val="28"/>
          <w:szCs w:val="28"/>
          <w:lang w:val="en-US" w:eastAsia="zh-CN" w:bidi="ar"/>
        </w:rPr>
        <w:t xml:space="preserve">』主题；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2.结合东方文化的内涵、具备国际化的视野，设计风格不拘；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3.提倡传统与时尚相结合的创作理念；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4.符合时代审美要求，结合民众日常需要，提升大众生活品位，通过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创新设计，让生活更便捷、更多彩、更生态、更安全、更亲和、更温馨、更健康、更节能、更环保；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5.参赛作品应符合国家有关法律法规和社会精神文明建设要求；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6.职院组学生组参赛作品为本年度毕业设计作品，本科生和研究生设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计作品不限；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7.社会组参赛作品为最近三年设计作品或竣工项目，设计内容为风景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园林设计、景观规划设计、城市规划设计、生态景观及海绵城市设计等相关作品。 </w:t>
      </w:r>
    </w:p>
    <w:p>
      <w:pPr>
        <w:pStyle w:val="5"/>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十、艾景智库（排名不分先后）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宋春华 原建设部副部长 艾景智库学术委员会名誉主席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吴志强 中国工程院院士、同济大学教授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孟兆祯 中国工程院院士、北京林业大学园林学院教授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唐学山 北京林业大学园林学院教授、博士生导师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刘滨谊 同济大学建筑与城规学院教授、《世界人居通讯》杂志主编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杨  锐 清华大学建筑学院教授、博导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杜春兰 重庆大学建筑学院教授、博导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董建文 福建农林大学园林学院教授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王向荣 北京林业大学园林学院教授、博导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成玉宁 东南大学建筑学院教授、博导，风景园林学科带头人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雷光春 北京林业大学生态与自然保护学院教授、博导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李建伟 东方易地总裁兼首席设计师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金云峰 同济大学建筑与城规学院教授、博导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刘 晖 西安建筑科技大学建筑学院教授、风景园林学科带头人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万 敏 华中科技大学建筑与城市规划学院教授、风景园林学科带头人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赵晓龙 苏州科技大学建筑与城市规划学院院长、教授、博导、风景园林学科带头人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管少平 华南理工大学设计学院教授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田 勇 四川音乐学院成都美术学院副院长、教授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王冬青 中国城市建设研究院建筑院副院长</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奚雪松 中国农业大学副教授、研究生导师、农建系书记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唐进群 中国城市规划设计研究院风景园林院总工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王润强 广州美术学院教授、博士生导师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邵  松 《南方建筑》杂志主编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车生泉 上海交通大学设计学院副院长、教授、博导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唐孝祥 华南理工大学建筑学院教授、博导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林广思 华南理工大学建筑学院景观学系主任、副教授、博导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傅  凡 北京建筑大学建筑与城市规划学院教授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王  鑫 北大国土空间规划设计研究院副总规划师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胡一可 天津大学建筑学院风景园林系副主任、副教授、博导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张  娟 北京工业大学建筑与城市规划学院副教授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刘  川 四川美术学院教授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路  彬 西班牙都市集团中国首席代表</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周玉明 苏州大学艺术学院教授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黄  艳 清华大学美术学院教授、博士生导师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周  晨 长沙理工大学建筑学院副院长</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付  军 北京农学院园林学院副院长、教授</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朱  逊 哈尔滨工业大学建筑学院院长助理、教授、博导</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十一、荣誉设置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本次大赛根据不同的组别分别设置荣誉，获奖者将获得由大赛主办单位颁发的荣誉证书，具体如下：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学生组分别按照各单元设置金奖10名、银奖15名、铜奖20名及优秀奖若干名。</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职业组分别按照各单元设置金奖10名、银奖15名、铜奖20名及优秀奖若干名。</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注：组委会保留根据参赛作品数量调整获奖比例权利</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十二、评选标准及评选流程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（一）评选原则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最大限度体现『</w:t>
      </w:r>
      <w:r>
        <w:rPr>
          <w:rFonts w:hint="eastAsia" w:ascii="仿宋" w:hAnsi="仿宋" w:eastAsia="仿宋" w:cs="仿宋"/>
          <w:b/>
          <w:bCs/>
          <w:color w:val="000000"/>
          <w:kern w:val="0"/>
          <w:sz w:val="28"/>
          <w:szCs w:val="28"/>
          <w:lang w:val="en-US" w:eastAsia="zh-CN" w:bidi="ar"/>
        </w:rPr>
        <w:t>筑梦山水·和美人居</w:t>
      </w:r>
      <w:r>
        <w:rPr>
          <w:rFonts w:hint="eastAsia" w:ascii="仿宋" w:hAnsi="仿宋" w:eastAsia="仿宋" w:cs="仿宋"/>
          <w:color w:val="000000"/>
          <w:kern w:val="0"/>
          <w:sz w:val="28"/>
          <w:szCs w:val="28"/>
          <w:lang w:val="en-US" w:eastAsia="zh-CN" w:bidi="ar"/>
        </w:rPr>
        <w:t xml:space="preserve">』的理念；体现世界与民族、传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统与现代、艺术与实用的融合；体现对新兴市场的敏锐与关注；体现丰富的想象力、创造性与强烈的时代感。具体遵循的原则如下：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第一，坚持生态优先原则，要突出园林绿化的生态效应；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第二，坚持以人为本的原则，要提升园林景观的人文内涵；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第三，坚持公益性原则，要提高园林景观的公共服务能力；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第四，坚持永续利用的原则，提高园林绿化管理的现代化水平。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（二）评选标准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设计作品必须具有符合现代社会的审美趋势，具有原创性，参赛资料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表达的全面性、系统性、条理性和视觉效果程度，提倡新型材料、低碳环保产品、节能材料的使用。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第一，能否突显本次竞赛活动的主题（比重：20%）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第二，提案创意与构想（比重：20%）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第三，对人文关怀、功能性及可持续性关注（10%）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第四，环境分析和设计手法（比重：10%）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第五，设计理念和思考（比重：10%）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第六，设计沟通表现方式（比重：10%）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第七，整体设计呈现效果（比重：10%）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第八，对环境、文化、历史以及其他相关问题的反思和关注（10%）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（三）评选流程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第一，采用专家评选和网络投票相结合的评选方式：专家由行业协会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的领导及首席专家，国内外知名专家教授，知名设计机构首席专家，大型企业集团首席设计师组成。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第二，初评：本次大赛初评采用网络评审，征稿结束后，大赛组委会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将从艾景智库专家库中抽选专家组成评委会进行作品入围评选，对入围作品进行评审、点评，确定入围名单。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第三，终评：大赛组委会组织由艾景智库学术委员会特邀的国内外知名专家组成的高级评委会，根据初评推荐意见，结合网络投票情况，从入围名单中确定最终各奖项名单。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十三、作品提交要求</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提交说明：参赛作品必须符合以下要求，否则将被取消资格：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第一，所有参赛作品都可以使用中文或英文（需有中文标题），因为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中文和英文均为艾景国际大会的官方语言。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第二，作品符合“作品范围、作品要求”中的说明。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第三，作品报送规格（按照组委会提供的模板要求设计）：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参赛作品设计分为展览用图、评审用图及出版用图3种形式，其中展览用图、评审用图为展板形式，要求2种规格。根据不同的用途，参展展板必须按照以下两种规格提交。出版用图必须提交原始图片，数量控制在10—15张，其中必须包括场地现状分析图、项目总平面图（指北针、标尺及图例缺一不可）1张，鸟瞰图1—4张，功能分区图、交通分析图、景观结构图、重要节点设计详图（平面图、立面图等）及实景图片8—10张。</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-1706880</wp:posOffset>
            </wp:positionV>
            <wp:extent cx="5259070" cy="1971675"/>
            <wp:effectExtent l="0" t="0" r="17780" b="9525"/>
            <wp:wrapNone/>
            <wp:docPr id="3" name="图片 3" descr="167885527068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8855270689541"/>
                    <pic:cNvPicPr>
                      <a:picLocks noChangeAspect="1"/>
                    </pic:cNvPicPr>
                  </pic:nvPicPr>
                  <pic:blipFill>
                    <a:blip r:embed="rId6"/>
                    <a:stretch>
                      <a:fillRect/>
                    </a:stretch>
                  </pic:blipFill>
                  <pic:spPr>
                    <a:xfrm>
                      <a:off x="0" y="0"/>
                      <a:ext cx="5259070" cy="1971675"/>
                    </a:xfrm>
                    <a:prstGeom prst="rect">
                      <a:avLst/>
                    </a:prstGeom>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社会组每一项目一般报送1名主创设计师（最多3名）；每个设计师最多报3个项目，每个项目四块评审展板，每个设计机构最多报送5个项目，最多不超过20块评审展板，项目通过后，可以根据项目需要增加项目展出展板数量，但每个项目最多不能超过5块展板。学生组每个作品评审和展览用图一律是2块。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3.主办单位将无偿使用本稿件出版作品集，进行主办方全媒体宣传和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合作网站网络宣传，若在版权方面有其他诉求，请在报送作品时提出明确说明。同时获奖作品也将在行业知名专题网站及官方网站无偿展播。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4.不退还报送的资料，请报送方自行留底。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十四、参赛限制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下列各项作品不得参赛：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1.非原创性设计，或存在仿冒或侵害他人知识产权的；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2.不符合本届大赛的主题和相关设计要求的；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3.以团体形式参赛，但团体内部未能明确界定相关权益或未能推举其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中代表人的。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b/>
          <w:color w:val="000000"/>
          <w:kern w:val="0"/>
          <w:sz w:val="28"/>
          <w:szCs w:val="28"/>
          <w:lang w:val="en-US" w:eastAsia="zh-CN" w:bidi="ar"/>
        </w:rPr>
        <w:t xml:space="preserve">十五、工作要求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1.竞赛活动应遵守国家有关法律法规，执行国家、行业有关标准、规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范、规程，遵循“公开、公平、公正”原则，坚持高标准、严要求，严禁弄虚作假，徇私舞弊，严禁借机向参赛人员摊派。如发现申报材料不实、 违反评选纪律，将取消参评资格或撤销其竞赛成绩。</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2.组委会对参赛项目不收取任何报名费和评审费。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3.为了做好媒体宣传推广等工作，最终入围的参赛作品将优选参加原 </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创作品展览及2023年度全国巡展，请大家积极配合。 </w:t>
      </w:r>
    </w:p>
    <w:p>
      <w:pPr>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十六、组委会联系方式</w:t>
      </w:r>
    </w:p>
    <w:p>
      <w:pPr>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联系地址：北京市西城区五根檩胡同11号5号楼</w:t>
      </w:r>
    </w:p>
    <w:p>
      <w:pPr>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李居朴</w:t>
      </w:r>
    </w:p>
    <w:p>
      <w:pPr>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010-51056545 132 6158 8688（同微信）</w:t>
      </w:r>
    </w:p>
    <w:p>
      <w:pPr>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"mailto:work@worldhabitat.cn" </w:instrText>
      </w:r>
      <w:r>
        <w:rPr>
          <w:rFonts w:hint="eastAsia" w:ascii="仿宋" w:hAnsi="仿宋" w:eastAsia="仿宋" w:cs="仿宋"/>
          <w:sz w:val="28"/>
          <w:szCs w:val="28"/>
          <w:lang w:val="en-US" w:eastAsia="zh-CN"/>
        </w:rPr>
        <w:fldChar w:fldCharType="separate"/>
      </w:r>
      <w:r>
        <w:rPr>
          <w:rStyle w:val="11"/>
          <w:rFonts w:hint="eastAsia" w:ascii="仿宋" w:hAnsi="仿宋" w:eastAsia="仿宋" w:cs="仿宋"/>
          <w:sz w:val="28"/>
          <w:szCs w:val="28"/>
          <w:lang w:val="en-US" w:eastAsia="zh-CN"/>
        </w:rPr>
        <w:t>JP.L@worldhabitat.cn</w:t>
      </w:r>
      <w:r>
        <w:rPr>
          <w:rFonts w:hint="eastAsia" w:ascii="仿宋" w:hAnsi="仿宋" w:eastAsia="仿宋" w:cs="仿宋"/>
          <w:sz w:val="28"/>
          <w:szCs w:val="28"/>
          <w:lang w:val="en-US" w:eastAsia="zh-CN"/>
        </w:rPr>
        <w:fldChar w:fldCharType="end"/>
      </w:r>
    </w:p>
    <w:p>
      <w:pPr>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0288" behindDoc="0" locked="0" layoutInCell="1" allowOverlap="1">
            <wp:simplePos x="0" y="0"/>
            <wp:positionH relativeFrom="column">
              <wp:posOffset>1029335</wp:posOffset>
            </wp:positionH>
            <wp:positionV relativeFrom="paragraph">
              <wp:posOffset>309880</wp:posOffset>
            </wp:positionV>
            <wp:extent cx="1440180" cy="1440180"/>
            <wp:effectExtent l="0" t="0" r="7620" b="7620"/>
            <wp:wrapNone/>
            <wp:docPr id="7" name="图片 7" descr="艾景奖logo+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艾景奖logo+商标"/>
                    <pic:cNvPicPr>
                      <a:picLocks noChangeAspect="1"/>
                    </pic:cNvPicPr>
                  </pic:nvPicPr>
                  <pic:blipFill>
                    <a:blip r:embed="rId7"/>
                    <a:stretch>
                      <a:fillRect/>
                    </a:stretch>
                  </pic:blipFill>
                  <pic:spPr>
                    <a:xfrm>
                      <a:off x="0" y="0"/>
                      <a:ext cx="1440180" cy="1440180"/>
                    </a:xfrm>
                    <a:prstGeom prst="rect">
                      <a:avLst/>
                    </a:prstGeom>
                  </pic:spPr>
                </pic:pic>
              </a:graphicData>
            </a:graphic>
          </wp:anchor>
        </w:drawing>
      </w:r>
    </w:p>
    <w:p>
      <w:pPr>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drawing>
          <wp:inline distT="0" distB="0" distL="114300" distR="114300">
            <wp:extent cx="1280795" cy="1316355"/>
            <wp:effectExtent l="0" t="0" r="14605" b="17145"/>
            <wp:docPr id="1" name="图片 1" descr="微信图片_2023041415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14154153"/>
                    <pic:cNvPicPr>
                      <a:picLocks noChangeAspect="1"/>
                    </pic:cNvPicPr>
                  </pic:nvPicPr>
                  <pic:blipFill>
                    <a:blip r:embed="rId8"/>
                    <a:stretch>
                      <a:fillRect/>
                    </a:stretch>
                  </pic:blipFill>
                  <pic:spPr>
                    <a:xfrm>
                      <a:off x="0" y="0"/>
                      <a:ext cx="1280795" cy="1316355"/>
                    </a:xfrm>
                    <a:prstGeom prst="rect">
                      <a:avLst/>
                    </a:prstGeom>
                  </pic:spPr>
                </pic:pic>
              </a:graphicData>
            </a:graphic>
          </wp:inline>
        </w:drawing>
      </w:r>
    </w:p>
    <w:p>
      <w:pPr>
        <w:pageBreakBefore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扫码享VIP服务</w:t>
      </w:r>
    </w:p>
    <w:sectPr>
      <w:headerReference r:id="rId3" w:type="default"/>
      <w:footerReference r:id="rId4" w:type="default"/>
      <w:pgSz w:w="11906" w:h="16838"/>
      <w:pgMar w:top="1440" w:right="1486" w:bottom="1440" w:left="1600" w:header="22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4A63C4C7-55C3-4DCD-BC96-30143355CD9E}"/>
  </w:font>
  <w:font w:name="方正仿宋_GB2312">
    <w:panose1 w:val="02000000000000000000"/>
    <w:charset w:val="86"/>
    <w:family w:val="auto"/>
    <w:pitch w:val="default"/>
    <w:sig w:usb0="A00002BF" w:usb1="184F6CFA" w:usb2="00000012" w:usb3="00000000" w:csb0="00040001" w:csb1="00000000"/>
    <w:embedRegular r:id="rId2" w:fontKey="{C128A404-D7A9-4EA3-BD65-E3500CBB46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hint="default"/>
        <w:lang w:val="en-US"/>
      </w:rPr>
    </w:pPr>
    <w:r>
      <w:rPr>
        <w:sz w:val="18"/>
      </w:rPr>
      <w:drawing>
        <wp:inline distT="0" distB="0" distL="114300" distR="114300">
          <wp:extent cx="685800" cy="685800"/>
          <wp:effectExtent l="0" t="0" r="0" b="0"/>
          <wp:docPr id="4" name="图片 4" descr="艾景奖logo+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艾景奖logo+商标"/>
                  <pic:cNvPicPr>
                    <a:picLocks noChangeAspect="1"/>
                  </pic:cNvPicPr>
                </pic:nvPicPr>
                <pic:blipFill>
                  <a:blip r:embed="rId1"/>
                  <a:stretch>
                    <a:fillRect/>
                  </a:stretch>
                </pic:blipFill>
                <pic:spPr>
                  <a:xfrm>
                    <a:off x="0" y="0"/>
                    <a:ext cx="685800" cy="685800"/>
                  </a:xfrm>
                  <a:prstGeom prst="rect">
                    <a:avLst/>
                  </a:prstGeom>
                </pic:spPr>
              </pic:pic>
            </a:graphicData>
          </a:graphic>
        </wp:inline>
      </w:drawing>
    </w:r>
    <w:r>
      <w:rPr>
        <w:rFonts w:hint="eastAsia"/>
        <w:sz w:val="18"/>
        <w:lang w:val="en-US" w:eastAsia="zh-CN"/>
      </w:rPr>
      <w:t xml:space="preserve">                                                             选择我们，选择官方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WQ0Yjk4ODQzNjk0MTU2YzAxZjUwNDMyNTNlNjAifQ=="/>
  </w:docVars>
  <w:rsids>
    <w:rsidRoot w:val="21B91579"/>
    <w:rsid w:val="060317A8"/>
    <w:rsid w:val="06A17275"/>
    <w:rsid w:val="0F651213"/>
    <w:rsid w:val="11D1138D"/>
    <w:rsid w:val="18605531"/>
    <w:rsid w:val="19662322"/>
    <w:rsid w:val="1D6628F1"/>
    <w:rsid w:val="21B91579"/>
    <w:rsid w:val="21E309B4"/>
    <w:rsid w:val="23AC0B46"/>
    <w:rsid w:val="2B8E4E22"/>
    <w:rsid w:val="30752F67"/>
    <w:rsid w:val="32A012D8"/>
    <w:rsid w:val="33FD3AA1"/>
    <w:rsid w:val="3E560692"/>
    <w:rsid w:val="449C2167"/>
    <w:rsid w:val="45E306D3"/>
    <w:rsid w:val="4B4B08ED"/>
    <w:rsid w:val="4BAA1FB6"/>
    <w:rsid w:val="4E3A5E7B"/>
    <w:rsid w:val="512555D9"/>
    <w:rsid w:val="51D55EBF"/>
    <w:rsid w:val="58FC6B4A"/>
    <w:rsid w:val="5FBF1411"/>
    <w:rsid w:val="635346E9"/>
    <w:rsid w:val="64A61C32"/>
    <w:rsid w:val="64ED2014"/>
    <w:rsid w:val="671842C1"/>
    <w:rsid w:val="69E16C41"/>
    <w:rsid w:val="6BB838E4"/>
    <w:rsid w:val="6D7774CE"/>
    <w:rsid w:val="6DEA2065"/>
    <w:rsid w:val="6EDF562C"/>
    <w:rsid w:val="6FCF744E"/>
    <w:rsid w:val="70123377"/>
    <w:rsid w:val="70597A46"/>
    <w:rsid w:val="74786307"/>
    <w:rsid w:val="786E14FC"/>
    <w:rsid w:val="78A82F32"/>
    <w:rsid w:val="78DE141F"/>
    <w:rsid w:val="7AE2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5">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1.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5344</Words>
  <Characters>5501</Characters>
  <Lines>0</Lines>
  <Paragraphs>0</Paragraphs>
  <TotalTime>4</TotalTime>
  <ScaleCrop>false</ScaleCrop>
  <LinksUpToDate>false</LinksUpToDate>
  <CharactersWithSpaces>5768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2021-03-18T06:35:00Z</dcterms:created>
  <dc:creator>ILIA艾景奖-龔兵華</dc:creator>
  <cp:lastModifiedBy>l浪♂子z</cp:lastModifiedBy>
  <cp:lastPrinted>2023-03-06T08:30:00Z</cp:lastPrinted>
  <dcterms:modified xsi:type="dcterms:W3CDTF">2023-05-08T01:04:13Z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53BBB001163347FE9EF247F660A48349</vt:lpwstr>
  </property>
</Properties>
</file>